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B3" w:rsidRPr="005315B3" w:rsidRDefault="005315B3" w:rsidP="005315B3">
      <w:pPr>
        <w:pStyle w:val="Default"/>
      </w:pPr>
    </w:p>
    <w:p w:rsidR="00A90FF8" w:rsidRPr="00A90FF8" w:rsidRDefault="00A90FF8" w:rsidP="00A90FF8">
      <w:pPr>
        <w:rPr>
          <w:color w:val="1F4E79" w:themeColor="accent1" w:themeShade="80"/>
          <w:sz w:val="18"/>
          <w:szCs w:val="18"/>
        </w:rPr>
      </w:pPr>
      <w:bookmarkStart w:id="0" w:name="_GoBack"/>
      <w:bookmarkEnd w:id="0"/>
    </w:p>
    <w:p w:rsidR="00A90FF8" w:rsidRPr="00A90FF8" w:rsidRDefault="00A90FF8" w:rsidP="000F2A2C">
      <w:pPr>
        <w:spacing w:after="0"/>
        <w:jc w:val="center"/>
        <w:rPr>
          <w:color w:val="1F4E79" w:themeColor="accent1" w:themeShade="80"/>
          <w:sz w:val="18"/>
          <w:szCs w:val="18"/>
        </w:rPr>
      </w:pPr>
      <w:r w:rsidRPr="00A90FF8">
        <w:rPr>
          <w:color w:val="1F4E79" w:themeColor="accent1" w:themeShade="80"/>
          <w:sz w:val="18"/>
          <w:szCs w:val="18"/>
        </w:rPr>
        <w:t>Georgia Emergency COVID-19 Response Project (WB IBRD 9113-GE and AIIB L0388A)                                                                                                                                                                                                                                          Effectiveness date May 28, 2020</w:t>
      </w:r>
    </w:p>
    <w:p w:rsidR="00A90FF8" w:rsidRPr="00A90FF8" w:rsidRDefault="00A90FF8" w:rsidP="000F2A2C">
      <w:pPr>
        <w:spacing w:after="0"/>
        <w:jc w:val="center"/>
        <w:rPr>
          <w:color w:val="1F4E79" w:themeColor="accent1" w:themeShade="80"/>
          <w:sz w:val="18"/>
          <w:szCs w:val="18"/>
        </w:rPr>
      </w:pPr>
      <w:r w:rsidRPr="00A90FF8">
        <w:rPr>
          <w:color w:val="1F4E79" w:themeColor="accent1" w:themeShade="80"/>
          <w:sz w:val="18"/>
          <w:szCs w:val="18"/>
        </w:rPr>
        <w:t>The Closing Date is April 30, 2022</w:t>
      </w:r>
    </w:p>
    <w:p w:rsidR="00A90FF8" w:rsidRPr="00A90FF8" w:rsidRDefault="00A90FF8" w:rsidP="000F2A2C">
      <w:pPr>
        <w:spacing w:after="0"/>
        <w:jc w:val="center"/>
        <w:rPr>
          <w:color w:val="1F4E79" w:themeColor="accent1" w:themeShade="80"/>
          <w:sz w:val="18"/>
          <w:szCs w:val="18"/>
        </w:rPr>
      </w:pPr>
      <w:r w:rsidRPr="00A90FF8">
        <w:rPr>
          <w:color w:val="1F4E79" w:themeColor="accent1" w:themeShade="80"/>
          <w:sz w:val="18"/>
          <w:szCs w:val="18"/>
        </w:rPr>
        <w:t>Signature date, May 1, 2020</w:t>
      </w:r>
    </w:p>
    <w:p w:rsidR="00A90FF8" w:rsidRDefault="00A90FF8" w:rsidP="00A90FF8">
      <w:pPr>
        <w:spacing w:after="0"/>
        <w:rPr>
          <w:color w:val="1F4E79" w:themeColor="accent1" w:themeShade="80"/>
          <w:sz w:val="22"/>
        </w:rPr>
      </w:pPr>
    </w:p>
    <w:p w:rsidR="00A90FF8" w:rsidRPr="00D76D52" w:rsidRDefault="00A90FF8" w:rsidP="00A90FF8">
      <w:pPr>
        <w:spacing w:after="0"/>
        <w:rPr>
          <w:color w:val="1F4E79" w:themeColor="accent1" w:themeShade="80"/>
          <w:sz w:val="22"/>
        </w:rPr>
      </w:pPr>
    </w:p>
    <w:p w:rsidR="005315B3" w:rsidRPr="005315B3" w:rsidRDefault="005315B3" w:rsidP="005315B3">
      <w:pPr>
        <w:pStyle w:val="Default"/>
        <w:rPr>
          <w:bCs/>
          <w:sz w:val="22"/>
          <w:szCs w:val="22"/>
        </w:rPr>
      </w:pPr>
      <w:r w:rsidRPr="005315B3">
        <w:rPr>
          <w:bCs/>
          <w:sz w:val="22"/>
          <w:szCs w:val="22"/>
        </w:rPr>
        <w:t xml:space="preserve">For the aim to </w:t>
      </w:r>
      <w:r w:rsidRPr="005315B3">
        <w:rPr>
          <w:bCs/>
          <w:sz w:val="22"/>
          <w:szCs w:val="22"/>
        </w:rPr>
        <w:t xml:space="preserve">prevent, detect, and respond to the threat posed by, the COVID-19 pandemic, and strengthen national systems for public health preparedness </w:t>
      </w:r>
      <w:r w:rsidRPr="005315B3">
        <w:rPr>
          <w:bCs/>
          <w:sz w:val="22"/>
          <w:szCs w:val="22"/>
        </w:rPr>
        <w:t xml:space="preserve">in Georgia, the </w:t>
      </w:r>
      <w:r w:rsidRPr="005315B3">
        <w:rPr>
          <w:bCs/>
          <w:sz w:val="22"/>
          <w:szCs w:val="22"/>
          <w:u w:val="single"/>
        </w:rPr>
        <w:t>Emergency COVID-19</w:t>
      </w:r>
      <w:r w:rsidRPr="005315B3">
        <w:rPr>
          <w:bCs/>
          <w:sz w:val="22"/>
          <w:szCs w:val="22"/>
          <w:u w:val="single"/>
        </w:rPr>
        <w:t xml:space="preserve"> Response Project has launched in June 2020. </w:t>
      </w:r>
      <w:r w:rsidRPr="005315B3">
        <w:rPr>
          <w:bCs/>
          <w:sz w:val="22"/>
          <w:szCs w:val="22"/>
        </w:rPr>
        <w:t xml:space="preserve"> </w:t>
      </w:r>
      <w:r w:rsidRPr="005315B3">
        <w:rPr>
          <w:bCs/>
          <w:sz w:val="22"/>
          <w:szCs w:val="22"/>
        </w:rPr>
        <w:t>The proposed project will be implemented over a period of two years with a total World Bank and AIIB financing of US$180 million</w:t>
      </w:r>
      <w:r w:rsidRPr="005315B3">
        <w:rPr>
          <w:sz w:val="22"/>
          <w:szCs w:val="22"/>
        </w:rPr>
        <w:t xml:space="preserve">. </w:t>
      </w:r>
    </w:p>
    <w:p w:rsidR="005315B3" w:rsidRPr="005315B3" w:rsidRDefault="005315B3" w:rsidP="005315B3">
      <w:pPr>
        <w:pStyle w:val="Default"/>
        <w:rPr>
          <w:sz w:val="22"/>
          <w:szCs w:val="22"/>
        </w:rPr>
      </w:pPr>
    </w:p>
    <w:p w:rsidR="005315B3" w:rsidRDefault="005315B3" w:rsidP="005315B3">
      <w:pPr>
        <w:pStyle w:val="Default"/>
        <w:rPr>
          <w:sz w:val="22"/>
          <w:szCs w:val="22"/>
        </w:rPr>
      </w:pPr>
      <w:r>
        <w:rPr>
          <w:b/>
          <w:bCs/>
          <w:sz w:val="22"/>
          <w:szCs w:val="22"/>
        </w:rPr>
        <w:t xml:space="preserve">Project Components </w:t>
      </w:r>
    </w:p>
    <w:p w:rsidR="005315B3" w:rsidRDefault="005315B3" w:rsidP="005315B3">
      <w:pPr>
        <w:pStyle w:val="Default"/>
        <w:rPr>
          <w:sz w:val="22"/>
          <w:szCs w:val="22"/>
        </w:rPr>
      </w:pPr>
      <w:r>
        <w:rPr>
          <w:b/>
          <w:bCs/>
          <w:sz w:val="22"/>
          <w:szCs w:val="22"/>
        </w:rPr>
        <w:t>Component 1. Emergency CO</w:t>
      </w:r>
      <w:r>
        <w:rPr>
          <w:b/>
          <w:bCs/>
          <w:sz w:val="22"/>
          <w:szCs w:val="22"/>
        </w:rPr>
        <w:t>VID-19 Response</w:t>
      </w:r>
    </w:p>
    <w:p w:rsidR="005315B3" w:rsidRDefault="005315B3" w:rsidP="005315B3">
      <w:pPr>
        <w:pStyle w:val="Default"/>
        <w:rPr>
          <w:sz w:val="22"/>
          <w:szCs w:val="22"/>
        </w:rPr>
      </w:pPr>
      <w:r>
        <w:rPr>
          <w:b/>
          <w:bCs/>
          <w:sz w:val="22"/>
          <w:szCs w:val="22"/>
        </w:rPr>
        <w:t>Subcomponent 1.1: Case Detection</w:t>
      </w:r>
      <w:r>
        <w:rPr>
          <w:b/>
          <w:bCs/>
          <w:sz w:val="22"/>
          <w:szCs w:val="22"/>
        </w:rPr>
        <w:t xml:space="preserve"> and Confirmation </w:t>
      </w:r>
    </w:p>
    <w:p w:rsidR="005315B3" w:rsidRDefault="00736C17" w:rsidP="005315B3">
      <w:pPr>
        <w:pStyle w:val="Default"/>
        <w:rPr>
          <w:sz w:val="22"/>
          <w:szCs w:val="22"/>
        </w:rPr>
      </w:pPr>
      <w:r>
        <w:rPr>
          <w:b/>
          <w:bCs/>
          <w:sz w:val="22"/>
          <w:szCs w:val="22"/>
        </w:rPr>
        <w:t xml:space="preserve">This subcomponent </w:t>
      </w:r>
      <w:r w:rsidR="005315B3">
        <w:rPr>
          <w:b/>
          <w:bCs/>
          <w:sz w:val="22"/>
          <w:szCs w:val="22"/>
        </w:rPr>
        <w:t>help</w:t>
      </w:r>
      <w:r>
        <w:rPr>
          <w:b/>
          <w:bCs/>
          <w:sz w:val="22"/>
          <w:szCs w:val="22"/>
        </w:rPr>
        <w:t xml:space="preserve">s strengthening </w:t>
      </w:r>
      <w:r w:rsidR="005315B3">
        <w:rPr>
          <w:b/>
          <w:bCs/>
          <w:sz w:val="22"/>
          <w:szCs w:val="22"/>
        </w:rPr>
        <w:t xml:space="preserve">public health laboratories and epidemiological capacity for early detection and confirmation of cases. </w:t>
      </w:r>
      <w:r w:rsidR="005315B3">
        <w:rPr>
          <w:sz w:val="22"/>
          <w:szCs w:val="22"/>
        </w:rPr>
        <w:t xml:space="preserve">It will support the strengthening of disease surveillance systems and the capacity of the selected public health laboratories to confirm cases by financing medical supplies and equipment: PPE and hygiene materials, COVID-19 test kits, laboratory reagents, polymerase chain reaction equipment, and specimen transport kits. </w:t>
      </w:r>
    </w:p>
    <w:p w:rsidR="00736C17" w:rsidRDefault="00736C17" w:rsidP="005315B3">
      <w:pPr>
        <w:pStyle w:val="Default"/>
        <w:rPr>
          <w:sz w:val="22"/>
          <w:szCs w:val="22"/>
        </w:rPr>
      </w:pPr>
    </w:p>
    <w:p w:rsidR="005315B3" w:rsidRDefault="005315B3" w:rsidP="005315B3">
      <w:pPr>
        <w:pStyle w:val="Default"/>
        <w:rPr>
          <w:sz w:val="22"/>
          <w:szCs w:val="22"/>
        </w:rPr>
      </w:pPr>
      <w:r>
        <w:rPr>
          <w:b/>
          <w:bCs/>
          <w:sz w:val="22"/>
          <w:szCs w:val="22"/>
        </w:rPr>
        <w:t xml:space="preserve">Subcomponent 1.2: Health System Strengthening for Case Management </w:t>
      </w:r>
      <w:r w:rsidR="00736C17">
        <w:rPr>
          <w:sz w:val="22"/>
          <w:szCs w:val="22"/>
        </w:rPr>
        <w:t xml:space="preserve">- </w:t>
      </w:r>
      <w:r>
        <w:rPr>
          <w:b/>
          <w:bCs/>
          <w:sz w:val="22"/>
          <w:szCs w:val="22"/>
        </w:rPr>
        <w:t>aims to contribute to the strengthening of health system preparedness, improve the quality of medical care provided to COVID-19 patients, and minimize the risks for health personnel and patients</w:t>
      </w:r>
      <w:r w:rsidR="00736C17">
        <w:rPr>
          <w:sz w:val="22"/>
          <w:szCs w:val="22"/>
        </w:rPr>
        <w:t xml:space="preserve">. This subcomponent </w:t>
      </w:r>
      <w:r>
        <w:rPr>
          <w:sz w:val="22"/>
          <w:szCs w:val="22"/>
        </w:rPr>
        <w:t>finance</w:t>
      </w:r>
      <w:r w:rsidR="00736C17">
        <w:rPr>
          <w:sz w:val="22"/>
          <w:szCs w:val="22"/>
        </w:rPr>
        <w:t>s</w:t>
      </w:r>
      <w:r>
        <w:rPr>
          <w:sz w:val="22"/>
          <w:szCs w:val="22"/>
        </w:rPr>
        <w:t xml:space="preserve"> PPE and hygiene materials for health workers and other staff who may be at high risk of exposure to COVID-19 at public and private facilities, including individuals working in quarantine facilities and border posts. </w:t>
      </w:r>
    </w:p>
    <w:p w:rsidR="005315B3" w:rsidRDefault="005315B3" w:rsidP="005315B3">
      <w:pPr>
        <w:pStyle w:val="Default"/>
        <w:rPr>
          <w:sz w:val="22"/>
          <w:szCs w:val="22"/>
        </w:rPr>
      </w:pPr>
    </w:p>
    <w:p w:rsidR="005315B3" w:rsidRPr="00736C17" w:rsidRDefault="005315B3" w:rsidP="005315B3">
      <w:pPr>
        <w:pStyle w:val="Default"/>
        <w:rPr>
          <w:bCs/>
          <w:sz w:val="22"/>
          <w:szCs w:val="22"/>
        </w:rPr>
      </w:pPr>
      <w:r w:rsidRPr="00736C17">
        <w:rPr>
          <w:bCs/>
          <w:sz w:val="22"/>
          <w:szCs w:val="22"/>
        </w:rPr>
        <w:t>Under this su</w:t>
      </w:r>
      <w:r w:rsidR="00736C17">
        <w:rPr>
          <w:bCs/>
          <w:sz w:val="22"/>
          <w:szCs w:val="22"/>
        </w:rPr>
        <w:t xml:space="preserve">bcomponent, the Government is </w:t>
      </w:r>
      <w:r w:rsidRPr="00736C17">
        <w:rPr>
          <w:bCs/>
          <w:sz w:val="22"/>
          <w:szCs w:val="22"/>
        </w:rPr>
        <w:t>procur</w:t>
      </w:r>
      <w:r w:rsidR="00736C17">
        <w:rPr>
          <w:bCs/>
          <w:sz w:val="22"/>
          <w:szCs w:val="22"/>
        </w:rPr>
        <w:t>ing</w:t>
      </w:r>
      <w:r w:rsidRPr="00736C17">
        <w:rPr>
          <w:bCs/>
          <w:sz w:val="22"/>
          <w:szCs w:val="22"/>
        </w:rPr>
        <w:t xml:space="preserve"> equipment, drugs, and medical supplies to strengthen the capacity of the seven public health facilities designated for COVID-19. This subcomponent will also transfer funds directly to public and private facilities that are designated to receive COVID-19 patients to compensate them for idle capacity and ensure standby readiness to provide </w:t>
      </w:r>
    </w:p>
    <w:p w:rsidR="00736C17" w:rsidRDefault="00736C17" w:rsidP="005315B3">
      <w:pPr>
        <w:pStyle w:val="Default"/>
        <w:rPr>
          <w:color w:val="auto"/>
        </w:rPr>
      </w:pPr>
    </w:p>
    <w:p w:rsidR="005315B3" w:rsidRDefault="005315B3" w:rsidP="005315B3">
      <w:pPr>
        <w:pStyle w:val="Default"/>
        <w:rPr>
          <w:color w:val="auto"/>
          <w:sz w:val="22"/>
          <w:szCs w:val="22"/>
        </w:rPr>
      </w:pPr>
    </w:p>
    <w:p w:rsidR="005315B3" w:rsidRDefault="005315B3" w:rsidP="005315B3">
      <w:pPr>
        <w:pStyle w:val="Default"/>
        <w:rPr>
          <w:b/>
          <w:bCs/>
          <w:color w:val="auto"/>
          <w:sz w:val="22"/>
          <w:szCs w:val="22"/>
        </w:rPr>
      </w:pPr>
      <w:r>
        <w:rPr>
          <w:b/>
          <w:bCs/>
          <w:color w:val="auto"/>
          <w:sz w:val="22"/>
          <w:szCs w:val="22"/>
        </w:rPr>
        <w:t>Component 2. Enabling Health Measures to Contain the COVID-19 Outbreak through Temporary Income Support for Poor Households and Vulnera</w:t>
      </w:r>
      <w:r w:rsidR="00736C17">
        <w:rPr>
          <w:b/>
          <w:bCs/>
          <w:color w:val="auto"/>
          <w:sz w:val="22"/>
          <w:szCs w:val="22"/>
        </w:rPr>
        <w:t xml:space="preserve">ble Individuals </w:t>
      </w:r>
    </w:p>
    <w:p w:rsidR="00736C17" w:rsidRDefault="00736C17" w:rsidP="005315B3">
      <w:pPr>
        <w:pStyle w:val="Default"/>
        <w:rPr>
          <w:color w:val="auto"/>
          <w:sz w:val="22"/>
          <w:szCs w:val="22"/>
        </w:rPr>
      </w:pPr>
    </w:p>
    <w:p w:rsidR="005315B3" w:rsidRDefault="005315B3" w:rsidP="005315B3">
      <w:pPr>
        <w:pStyle w:val="Default"/>
        <w:rPr>
          <w:color w:val="auto"/>
          <w:sz w:val="22"/>
          <w:szCs w:val="22"/>
        </w:rPr>
      </w:pPr>
      <w:r>
        <w:rPr>
          <w:color w:val="auto"/>
          <w:sz w:val="22"/>
          <w:szCs w:val="22"/>
        </w:rPr>
        <w:t xml:space="preserve">Component 2 complements the support provided under Component 1 by introducing mitigation measures in the form of financial support for poor and vulnerable households to enable them to comply with social distancing and COVID-19 containment measures and lockdown orders. </w:t>
      </w:r>
    </w:p>
    <w:p w:rsidR="005315B3" w:rsidRDefault="005315B3" w:rsidP="005315B3">
      <w:pPr>
        <w:pStyle w:val="Default"/>
        <w:rPr>
          <w:color w:val="auto"/>
          <w:sz w:val="22"/>
          <w:szCs w:val="22"/>
        </w:rPr>
      </w:pPr>
    </w:p>
    <w:p w:rsidR="005315B3" w:rsidRDefault="005315B3" w:rsidP="005315B3">
      <w:pPr>
        <w:pStyle w:val="Default"/>
        <w:rPr>
          <w:color w:val="auto"/>
          <w:sz w:val="22"/>
          <w:szCs w:val="22"/>
        </w:rPr>
      </w:pPr>
      <w:r>
        <w:rPr>
          <w:b/>
          <w:bCs/>
          <w:color w:val="auto"/>
          <w:sz w:val="22"/>
          <w:szCs w:val="22"/>
        </w:rPr>
        <w:t>Subcomponent 2.1: Cash Transfers to Poor and Vulnerable Hous</w:t>
      </w:r>
      <w:r w:rsidR="00736C17">
        <w:rPr>
          <w:b/>
          <w:bCs/>
          <w:color w:val="auto"/>
          <w:sz w:val="22"/>
          <w:szCs w:val="22"/>
        </w:rPr>
        <w:t xml:space="preserve">eholds </w:t>
      </w:r>
      <w:r>
        <w:rPr>
          <w:b/>
          <w:bCs/>
          <w:color w:val="auto"/>
          <w:sz w:val="22"/>
          <w:szCs w:val="22"/>
        </w:rPr>
        <w:t xml:space="preserve"> </w:t>
      </w:r>
    </w:p>
    <w:p w:rsidR="005315B3" w:rsidRDefault="005315B3" w:rsidP="005315B3">
      <w:pPr>
        <w:pStyle w:val="Default"/>
        <w:rPr>
          <w:color w:val="auto"/>
          <w:sz w:val="22"/>
          <w:szCs w:val="22"/>
        </w:rPr>
      </w:pPr>
      <w:r>
        <w:rPr>
          <w:b/>
          <w:bCs/>
          <w:color w:val="auto"/>
          <w:sz w:val="22"/>
          <w:szCs w:val="22"/>
        </w:rPr>
        <w:t xml:space="preserve">This subcomponent will assist households that are negatively affected by the health measures adopted to contain the outbreak and the resulting economic downturn </w:t>
      </w:r>
      <w:r>
        <w:rPr>
          <w:color w:val="auto"/>
          <w:sz w:val="22"/>
          <w:szCs w:val="22"/>
        </w:rPr>
        <w:t xml:space="preserve">by supporting: (a) the scale-up of the TSA program for extremely poor households; (b) a new temporary cash benefit for vulnerable households; and (c) a top-up benefit for households with more than three children. </w:t>
      </w:r>
    </w:p>
    <w:p w:rsidR="005315B3" w:rsidRDefault="005315B3" w:rsidP="005315B3">
      <w:pPr>
        <w:pStyle w:val="Default"/>
        <w:rPr>
          <w:color w:val="auto"/>
          <w:sz w:val="22"/>
          <w:szCs w:val="22"/>
        </w:rPr>
      </w:pPr>
    </w:p>
    <w:p w:rsidR="005315B3" w:rsidRDefault="005315B3" w:rsidP="005315B3">
      <w:pPr>
        <w:pStyle w:val="Default"/>
        <w:rPr>
          <w:color w:val="auto"/>
        </w:rPr>
      </w:pPr>
      <w:r w:rsidRPr="00736C17">
        <w:rPr>
          <w:bCs/>
          <w:color w:val="auto"/>
          <w:sz w:val="22"/>
          <w:szCs w:val="22"/>
        </w:rPr>
        <w:t>By design, the TSA program targets extremely poor households based on a proxy means test (PMT) scoring formula that is</w:t>
      </w:r>
      <w:r>
        <w:rPr>
          <w:b/>
          <w:bCs/>
          <w:color w:val="auto"/>
          <w:sz w:val="22"/>
          <w:szCs w:val="22"/>
        </w:rPr>
        <w:t xml:space="preserve"> </w:t>
      </w:r>
      <w:r w:rsidRPr="00736C17">
        <w:rPr>
          <w:bCs/>
          <w:color w:val="auto"/>
          <w:sz w:val="22"/>
          <w:szCs w:val="22"/>
        </w:rPr>
        <w:t>partially shock responsive</w:t>
      </w:r>
      <w:r w:rsidRPr="00736C17">
        <w:rPr>
          <w:color w:val="auto"/>
          <w:sz w:val="22"/>
          <w:szCs w:val="22"/>
        </w:rPr>
        <w:t>.</w:t>
      </w:r>
      <w:r>
        <w:rPr>
          <w:color w:val="auto"/>
          <w:sz w:val="22"/>
          <w:szCs w:val="22"/>
        </w:rPr>
        <w:t xml:space="preserve"> </w:t>
      </w:r>
    </w:p>
    <w:p w:rsidR="005315B3" w:rsidRDefault="005315B3" w:rsidP="005315B3">
      <w:pPr>
        <w:pStyle w:val="Default"/>
        <w:rPr>
          <w:color w:val="auto"/>
          <w:sz w:val="22"/>
          <w:szCs w:val="22"/>
        </w:rPr>
      </w:pPr>
    </w:p>
    <w:p w:rsidR="005315B3" w:rsidRDefault="005315B3" w:rsidP="005315B3">
      <w:pPr>
        <w:pStyle w:val="Default"/>
        <w:rPr>
          <w:color w:val="auto"/>
          <w:sz w:val="22"/>
          <w:szCs w:val="22"/>
        </w:rPr>
      </w:pPr>
      <w:r>
        <w:rPr>
          <w:b/>
          <w:bCs/>
          <w:color w:val="auto"/>
          <w:sz w:val="22"/>
          <w:szCs w:val="22"/>
        </w:rPr>
        <w:t xml:space="preserve">Subcomponent 2.2: Temporary Unemployment Assistance for Individuals who </w:t>
      </w:r>
      <w:proofErr w:type="gramStart"/>
      <w:r>
        <w:rPr>
          <w:b/>
          <w:bCs/>
          <w:color w:val="auto"/>
          <w:sz w:val="22"/>
          <w:szCs w:val="22"/>
        </w:rPr>
        <w:t>Lose</w:t>
      </w:r>
      <w:proofErr w:type="gramEnd"/>
      <w:r>
        <w:rPr>
          <w:b/>
          <w:bCs/>
          <w:color w:val="auto"/>
          <w:sz w:val="22"/>
          <w:szCs w:val="22"/>
        </w:rPr>
        <w:t xml:space="preserve"> their Job because of the COVID-19 Outbreak </w:t>
      </w:r>
    </w:p>
    <w:p w:rsidR="00736C17" w:rsidRDefault="00736C17" w:rsidP="005315B3">
      <w:pPr>
        <w:pStyle w:val="Default"/>
        <w:rPr>
          <w:color w:val="auto"/>
          <w:sz w:val="22"/>
          <w:szCs w:val="22"/>
        </w:rPr>
      </w:pPr>
    </w:p>
    <w:p w:rsidR="005315B3" w:rsidRDefault="00736C17" w:rsidP="005315B3">
      <w:pPr>
        <w:pStyle w:val="Default"/>
        <w:rPr>
          <w:color w:val="auto"/>
          <w:sz w:val="22"/>
          <w:szCs w:val="22"/>
        </w:rPr>
      </w:pPr>
      <w:r>
        <w:rPr>
          <w:b/>
          <w:bCs/>
          <w:color w:val="auto"/>
          <w:sz w:val="22"/>
          <w:szCs w:val="22"/>
        </w:rPr>
        <w:t xml:space="preserve">This subcomponent </w:t>
      </w:r>
      <w:r w:rsidR="005315B3">
        <w:rPr>
          <w:b/>
          <w:bCs/>
          <w:color w:val="auto"/>
          <w:sz w:val="22"/>
          <w:szCs w:val="22"/>
        </w:rPr>
        <w:t>finance</w:t>
      </w:r>
      <w:r>
        <w:rPr>
          <w:b/>
          <w:bCs/>
          <w:color w:val="auto"/>
          <w:sz w:val="22"/>
          <w:szCs w:val="22"/>
        </w:rPr>
        <w:t>s</w:t>
      </w:r>
      <w:r w:rsidR="005315B3">
        <w:rPr>
          <w:b/>
          <w:bCs/>
          <w:color w:val="auto"/>
          <w:sz w:val="22"/>
          <w:szCs w:val="22"/>
        </w:rPr>
        <w:t xml:space="preserve"> temporary unemployment assistance benefit for private sector formal wage workers</w:t>
      </w:r>
      <w:r w:rsidR="005315B3">
        <w:rPr>
          <w:color w:val="auto"/>
          <w:sz w:val="22"/>
          <w:szCs w:val="22"/>
        </w:rPr>
        <w:t xml:space="preserve">. The temporary unemployment assistance benefit will consist of a flat benefit of 200 GEL per month provided to formal wage </w:t>
      </w:r>
      <w:r w:rsidR="005315B3">
        <w:rPr>
          <w:color w:val="auto"/>
          <w:sz w:val="22"/>
          <w:szCs w:val="22"/>
        </w:rPr>
        <w:lastRenderedPageBreak/>
        <w:t xml:space="preserve">workers in private companies who are laid off as a result of COVID-related restrictions and the economic lockdown of nonessential businesses. </w:t>
      </w:r>
    </w:p>
    <w:p w:rsidR="00736C17" w:rsidRDefault="00736C17" w:rsidP="005315B3">
      <w:pPr>
        <w:pStyle w:val="Default"/>
        <w:rPr>
          <w:color w:val="auto"/>
          <w:sz w:val="22"/>
          <w:szCs w:val="22"/>
        </w:rPr>
      </w:pPr>
    </w:p>
    <w:p w:rsidR="005315B3" w:rsidRDefault="005315B3" w:rsidP="00736C17">
      <w:pPr>
        <w:pStyle w:val="Default"/>
        <w:rPr>
          <w:color w:val="auto"/>
          <w:sz w:val="16"/>
          <w:szCs w:val="16"/>
        </w:rPr>
      </w:pPr>
      <w:r>
        <w:rPr>
          <w:b/>
          <w:bCs/>
          <w:color w:val="auto"/>
          <w:sz w:val="22"/>
          <w:szCs w:val="22"/>
        </w:rPr>
        <w:t xml:space="preserve">This subcomponent will also support the introduction of a one-off benefit targeted to self-employed and informal workers who lost their job because of the economic downturn resulting from the measures adopted to contain the outbreak. </w:t>
      </w:r>
      <w:r>
        <w:rPr>
          <w:color w:val="auto"/>
          <w:sz w:val="22"/>
          <w:szCs w:val="22"/>
        </w:rPr>
        <w:t xml:space="preserve">The one-off benefit will be provided on demand through an online portal and SESA. Beneficiaries will be selected if they comply with the following criteria: (a) not having any source of declared income, as verified through the tax income payroll database of the Revenue Service; and (b) not being a beneficiary of public social assistance (including the TSA, the social pensions, and the temporary cash transfers supported by subcomponent 1). The one-off benefit amount will be around GEL 300 (around US$96). </w:t>
      </w:r>
    </w:p>
    <w:p w:rsidR="005315B3" w:rsidRDefault="005315B3" w:rsidP="005315B3">
      <w:pPr>
        <w:pStyle w:val="Default"/>
        <w:rPr>
          <w:color w:val="auto"/>
        </w:rPr>
      </w:pPr>
    </w:p>
    <w:p w:rsidR="005315B3" w:rsidRDefault="005315B3" w:rsidP="005315B3">
      <w:pPr>
        <w:pStyle w:val="Default"/>
        <w:rPr>
          <w:color w:val="auto"/>
          <w:sz w:val="22"/>
          <w:szCs w:val="22"/>
        </w:rPr>
      </w:pPr>
      <w:r>
        <w:rPr>
          <w:b/>
          <w:bCs/>
          <w:color w:val="auto"/>
          <w:sz w:val="22"/>
          <w:szCs w:val="22"/>
        </w:rPr>
        <w:t xml:space="preserve">Funds allocated to Component 2 of the project will not be sufficient to address all the needs of vulnerable individuals in the country. </w:t>
      </w:r>
      <w:r>
        <w:rPr>
          <w:color w:val="auto"/>
          <w:sz w:val="22"/>
          <w:szCs w:val="22"/>
        </w:rPr>
        <w:t xml:space="preserve">Although it will be difficult to estimate financing needs precisely, given that the situation evolves by the day, the financial needs for social protection are expected to be large. The Government will likely use its own resources and funds from other development partners. State budgets will also be used to finance information campaigns to raise awareness about the new benefits supported by this component. </w:t>
      </w:r>
    </w:p>
    <w:p w:rsidR="005315B3" w:rsidRDefault="005315B3" w:rsidP="005315B3">
      <w:pPr>
        <w:pStyle w:val="Default"/>
        <w:rPr>
          <w:color w:val="auto"/>
          <w:sz w:val="22"/>
          <w:szCs w:val="22"/>
        </w:rPr>
      </w:pPr>
    </w:p>
    <w:p w:rsidR="00EB10C8" w:rsidRPr="00EB10C8" w:rsidRDefault="005315B3" w:rsidP="00EB10C8">
      <w:pPr>
        <w:pStyle w:val="Default"/>
        <w:rPr>
          <w:color w:val="auto"/>
          <w:sz w:val="22"/>
          <w:szCs w:val="22"/>
        </w:rPr>
      </w:pPr>
      <w:r w:rsidRPr="00EB10C8">
        <w:rPr>
          <w:b/>
          <w:bCs/>
          <w:color w:val="auto"/>
          <w:sz w:val="22"/>
          <w:szCs w:val="22"/>
        </w:rPr>
        <w:t>Component 3. Project Manageme</w:t>
      </w:r>
      <w:r w:rsidR="00EB10C8">
        <w:rPr>
          <w:b/>
          <w:bCs/>
          <w:sz w:val="22"/>
        </w:rPr>
        <w:t>nt and Monitoring</w:t>
      </w:r>
      <w:r w:rsidR="00EB10C8" w:rsidRPr="00EB10C8">
        <w:rPr>
          <w:rFonts w:ascii="Times New Roman" w:hAnsi="Times New Roman" w:cs="Times New Roman"/>
        </w:rPr>
        <w:t xml:space="preserve"> </w:t>
      </w:r>
      <w:r w:rsidR="00EB10C8" w:rsidRPr="00EB10C8">
        <w:rPr>
          <w:color w:val="auto"/>
          <w:sz w:val="22"/>
          <w:szCs w:val="22"/>
        </w:rPr>
        <w:t xml:space="preserve">supports project implementation for the overall administration of the project </w:t>
      </w:r>
    </w:p>
    <w:p w:rsidR="00CB1B3A" w:rsidRPr="007D315D" w:rsidRDefault="00CB1B3A" w:rsidP="005315B3">
      <w:pPr>
        <w:rPr>
          <w:rFonts w:ascii="Calibri" w:hAnsi="Calibri" w:cs="Calibri"/>
          <w:sz w:val="22"/>
        </w:rPr>
      </w:pPr>
    </w:p>
    <w:sectPr w:rsidR="00CB1B3A" w:rsidRPr="007D315D" w:rsidSect="00736C17">
      <w:pgSz w:w="12240" w:h="16340"/>
      <w:pgMar w:top="1220" w:right="322" w:bottom="0" w:left="5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B3"/>
    <w:rsid w:val="000F2A2C"/>
    <w:rsid w:val="005315B3"/>
    <w:rsid w:val="00736C17"/>
    <w:rsid w:val="007D315D"/>
    <w:rsid w:val="009878BB"/>
    <w:rsid w:val="00A90FF8"/>
    <w:rsid w:val="00CB1B3A"/>
    <w:rsid w:val="00EB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1B85"/>
  <w15:chartTrackingRefBased/>
  <w15:docId w15:val="{5CD68196-E093-4DEB-A5FA-203F0F49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5B3"/>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Nino Kvernadze</cp:lastModifiedBy>
  <cp:revision>4</cp:revision>
  <dcterms:created xsi:type="dcterms:W3CDTF">2020-10-02T15:30:00Z</dcterms:created>
  <dcterms:modified xsi:type="dcterms:W3CDTF">2020-10-02T16:07:00Z</dcterms:modified>
</cp:coreProperties>
</file>